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5F94BDF0" w:rsidR="00197C54" w:rsidRPr="00FF2A4E" w:rsidRDefault="00FF2A4E" w:rsidP="00FF2A4E">
      <w:pPr>
        <w:jc w:val="center"/>
      </w:pPr>
      <w:bookmarkStart w:id="0" w:name="_GoBack"/>
      <w:bookmarkEnd w:id="0"/>
      <w:r w:rsidRPr="00FF2A4E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Виды коучинга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FF2A4E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по области применения.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FF2A4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Основная классификация</w:t>
      </w:r>
    </w:p>
    <w:p w14:paraId="2AAC7A3D" w14:textId="7AFEA6C1" w:rsidR="00197C54" w:rsidRDefault="00000FA6" w:rsidP="00197C54">
      <w:r>
        <w:rPr>
          <w:noProof/>
        </w:rPr>
        <w:drawing>
          <wp:inline distT="0" distB="0" distL="0" distR="0" wp14:anchorId="16502ACF" wp14:editId="046001F2">
            <wp:extent cx="6029325" cy="46706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Vp784IB5QyAC0vPhcya6MU0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786" cy="467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E744" w14:textId="77777777" w:rsidR="00000FA6" w:rsidRDefault="00000FA6">
      <w:pPr>
        <w:rPr>
          <w:i/>
          <w:iCs/>
        </w:rPr>
      </w:pPr>
    </w:p>
    <w:p w14:paraId="6F3A8726" w14:textId="744FD2AB" w:rsidR="00000FA6" w:rsidRDefault="00000FA6">
      <w:pPr>
        <w:rPr>
          <w:i/>
          <w:iCs/>
        </w:rPr>
      </w:pPr>
      <w:hyperlink r:id="rId9" w:history="1">
        <w:r w:rsidRPr="005F7761">
          <w:rPr>
            <w:rStyle w:val="af1"/>
            <w:i/>
            <w:iCs/>
          </w:rPr>
          <w:t>https://navika.pro/konsalting--</w:t>
        </w:r>
        <w:proofErr w:type="spellStart"/>
        <w:r w:rsidRPr="005F7761">
          <w:rPr>
            <w:rStyle w:val="af1"/>
            <w:i/>
            <w:iCs/>
          </w:rPr>
          <w:t>kouching</w:t>
        </w:r>
        <w:proofErr w:type="spellEnd"/>
        <w:r w:rsidRPr="005F7761">
          <w:rPr>
            <w:rStyle w:val="af1"/>
            <w:i/>
            <w:iCs/>
          </w:rPr>
          <w:t>/</w:t>
        </w:r>
        <w:proofErr w:type="spellStart"/>
        <w:r w:rsidRPr="005F7761">
          <w:rPr>
            <w:rStyle w:val="af1"/>
            <w:i/>
            <w:iCs/>
          </w:rPr>
          <w:t>courses</w:t>
        </w:r>
        <w:proofErr w:type="spellEnd"/>
        <w:r w:rsidRPr="005F7761">
          <w:rPr>
            <w:rStyle w:val="af1"/>
            <w:i/>
            <w:iCs/>
          </w:rPr>
          <w:t>/</w:t>
        </w:r>
        <w:proofErr w:type="spellStart"/>
        <w:r w:rsidRPr="005F7761">
          <w:rPr>
            <w:rStyle w:val="af1"/>
            <w:i/>
            <w:iCs/>
          </w:rPr>
          <w:t>kouching</w:t>
        </w:r>
        <w:proofErr w:type="spellEnd"/>
      </w:hyperlink>
    </w:p>
    <w:p w14:paraId="5173D209" w14:textId="5F62E00F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699BD6BF" w:rsidR="00F65B37" w:rsidRDefault="009110D2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36D45739" w14:textId="03E1B909" w:rsidR="009110D2" w:rsidRPr="009110D2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9110D2">
            <w:rPr>
              <w:b/>
              <w:bCs/>
              <w:color w:val="8064A2" w:themeColor="accent4"/>
              <w:sz w:val="28"/>
              <w:szCs w:val="28"/>
            </w:rPr>
            <w:fldChar w:fldCharType="begin"/>
          </w:r>
          <w:r w:rsidRPr="009110D2">
            <w:rPr>
              <w:b/>
              <w:bCs/>
              <w:color w:val="8064A2" w:themeColor="accent4"/>
              <w:sz w:val="28"/>
              <w:szCs w:val="28"/>
            </w:rPr>
            <w:instrText xml:space="preserve"> TOC \o "1-3" \h \z \u </w:instrText>
          </w:r>
          <w:r w:rsidRPr="009110D2">
            <w:rPr>
              <w:b/>
              <w:bCs/>
              <w:color w:val="8064A2" w:themeColor="accent4"/>
              <w:sz w:val="28"/>
              <w:szCs w:val="28"/>
            </w:rPr>
            <w:fldChar w:fldCharType="separate"/>
          </w:r>
          <w:hyperlink w:anchor="_Toc24147748" w:history="1">
            <w:r w:rsidR="009110D2" w:rsidRPr="009110D2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Определение ниши и формата коучинга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_Toc24147748 \h </w:instrTex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DB16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4F34927" w14:textId="4D1B427C" w:rsidR="009110D2" w:rsidRPr="009110D2" w:rsidRDefault="00077F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47751" w:history="1">
            <w:r w:rsidR="009110D2" w:rsidRPr="009110D2">
              <w:rPr>
                <w:rStyle w:val="af1"/>
                <w:rFonts w:eastAsia="Verdana"/>
                <w:b/>
                <w:bCs/>
                <w:noProof/>
                <w:color w:val="8064A2" w:themeColor="accent4"/>
                <w:sz w:val="28"/>
                <w:szCs w:val="28"/>
              </w:rPr>
              <w:t>2. Развитие методики четырехсторонней коммуникации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_Toc24147751 \h </w:instrTex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DB16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6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44A3F65" w14:textId="0725C89E" w:rsidR="009110D2" w:rsidRPr="009110D2" w:rsidRDefault="00077F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47752" w:history="1">
            <w:r w:rsidR="009110D2" w:rsidRPr="009110D2">
              <w:rPr>
                <w:rStyle w:val="af1"/>
                <w:rFonts w:eastAsia="Verdana"/>
                <w:b/>
                <w:bCs/>
                <w:noProof/>
                <w:color w:val="8064A2" w:themeColor="accent4"/>
                <w:sz w:val="28"/>
                <w:szCs w:val="28"/>
              </w:rPr>
              <w:t>3. Тест на стиль общения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_Toc24147752 \h </w:instrTex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DB16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7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F6F0AEA" w14:textId="152E3F9D" w:rsidR="009110D2" w:rsidRPr="009110D2" w:rsidRDefault="00077F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47753" w:history="1">
            <w:r w:rsidR="009110D2" w:rsidRPr="009110D2">
              <w:rPr>
                <w:rStyle w:val="af1"/>
                <w:rFonts w:eastAsia="Verdana"/>
                <w:b/>
                <w:bCs/>
                <w:noProof/>
                <w:color w:val="8064A2" w:themeColor="accent4"/>
                <w:sz w:val="28"/>
                <w:szCs w:val="28"/>
              </w:rPr>
              <w:t>4. Моделирование колеса жизненного баланса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_Toc24147753 \h </w:instrTex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DB16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8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42028B59" w14:textId="1F1C97BD" w:rsidR="009110D2" w:rsidRPr="009110D2" w:rsidRDefault="00077F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47754" w:history="1">
            <w:r w:rsidR="009110D2" w:rsidRPr="009110D2">
              <w:rPr>
                <w:rStyle w:val="af1"/>
                <w:rFonts w:eastAsia="Verdana"/>
                <w:b/>
                <w:bCs/>
                <w:noProof/>
                <w:color w:val="8064A2" w:themeColor="accent4"/>
                <w:sz w:val="28"/>
                <w:szCs w:val="28"/>
              </w:rPr>
              <w:t>5. Моделирование правила 2-2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_Toc24147754 \h </w:instrTex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DB16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="009110D2" w:rsidRPr="009110D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76A8B516" w:rsidR="00F65B37" w:rsidRDefault="00F65B37">
          <w:r w:rsidRPr="009110D2">
            <w:rPr>
              <w:b/>
              <w:bCs/>
              <w:color w:val="8064A2" w:themeColor="accent4"/>
              <w:sz w:val="28"/>
              <w:szCs w:val="28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ED06F7B" w14:textId="77777777" w:rsidR="00FB1F62" w:rsidRDefault="00FB1F62" w:rsidP="00FB1F62">
      <w:pPr>
        <w:pStyle w:val="1"/>
      </w:pPr>
      <w:bookmarkStart w:id="1" w:name="_Toc24147748"/>
      <w:r>
        <w:lastRenderedPageBreak/>
        <w:t>1. Определение ниши и формата коучинга</w:t>
      </w:r>
      <w:bookmarkEnd w:id="1"/>
    </w:p>
    <w:p w14:paraId="0D5193F5" w14:textId="77777777" w:rsidR="00FB1F62" w:rsidRDefault="00FB1F62" w:rsidP="00FB1F62">
      <w:pPr>
        <w:spacing w:after="0" w:line="240" w:lineRule="auto"/>
        <w:jc w:val="both"/>
        <w:rPr>
          <w:bCs/>
          <w:sz w:val="28"/>
          <w:szCs w:val="28"/>
        </w:rPr>
      </w:pPr>
    </w:p>
    <w:p w14:paraId="0DA5E26B" w14:textId="77EF15B8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1.1. </w:t>
      </w:r>
      <w:r w:rsidRPr="00FB1F62">
        <w:rPr>
          <w:rStyle w:val="ae"/>
        </w:rPr>
        <w:t>Определите, в какой нише коучинга вы хотите работать. Запишите свои навыки и возможности в этой нише, чем вы можете помочь своим клиентам.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1803"/>
        <w:gridCol w:w="1335"/>
        <w:gridCol w:w="1335"/>
        <w:gridCol w:w="1335"/>
        <w:gridCol w:w="1335"/>
        <w:gridCol w:w="1335"/>
        <w:gridCol w:w="1335"/>
      </w:tblGrid>
      <w:tr w:rsidR="00FB1F62" w14:paraId="7AAB008B" w14:textId="77777777" w:rsidTr="00FB1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hideMark/>
          </w:tcPr>
          <w:p w14:paraId="049C50BE" w14:textId="77777777" w:rsidR="00FB1F62" w:rsidRDefault="00FB1F62" w:rsidP="00FB1F62">
            <w:pPr>
              <w:rPr>
                <w:bCs w:val="0"/>
              </w:rPr>
            </w:pPr>
            <w:r>
              <w:rPr>
                <w:bCs w:val="0"/>
              </w:rPr>
              <w:t>Вид</w:t>
            </w:r>
          </w:p>
        </w:tc>
        <w:tc>
          <w:tcPr>
            <w:tcW w:w="1335" w:type="dxa"/>
          </w:tcPr>
          <w:p w14:paraId="7BD238D3" w14:textId="77777777" w:rsidR="00FB1F62" w:rsidRDefault="00FB1F62" w:rsidP="00FB1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1335" w:type="dxa"/>
          </w:tcPr>
          <w:p w14:paraId="4ADAF282" w14:textId="77777777" w:rsidR="00FB1F62" w:rsidRDefault="00FB1F62" w:rsidP="00FB1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1335" w:type="dxa"/>
          </w:tcPr>
          <w:p w14:paraId="4C9648CE" w14:textId="77777777" w:rsidR="00FB1F62" w:rsidRDefault="00FB1F62" w:rsidP="00FB1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1335" w:type="dxa"/>
          </w:tcPr>
          <w:p w14:paraId="3C73F009" w14:textId="77777777" w:rsidR="00FB1F62" w:rsidRDefault="00FB1F62" w:rsidP="00FB1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1335" w:type="dxa"/>
          </w:tcPr>
          <w:p w14:paraId="46CC6402" w14:textId="77777777" w:rsidR="00FB1F62" w:rsidRDefault="00FB1F62" w:rsidP="00FB1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1335" w:type="dxa"/>
          </w:tcPr>
          <w:p w14:paraId="2A25794B" w14:textId="77777777" w:rsidR="00FB1F62" w:rsidRDefault="00FB1F62" w:rsidP="00FB1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FB1F62" w14:paraId="1B93B166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hideMark/>
          </w:tcPr>
          <w:p w14:paraId="0D40CD95" w14:textId="77777777" w:rsidR="00FB1F62" w:rsidRDefault="00FB1F62" w:rsidP="00FB1F62">
            <w:pPr>
              <w:rPr>
                <w:bCs w:val="0"/>
              </w:rPr>
            </w:pPr>
            <w:proofErr w:type="spellStart"/>
            <w:r>
              <w:rPr>
                <w:bCs w:val="0"/>
              </w:rPr>
              <w:t>Лайф</w:t>
            </w:r>
            <w:proofErr w:type="spellEnd"/>
            <w:r>
              <w:rPr>
                <w:bCs w:val="0"/>
              </w:rPr>
              <w:t>-коучинг</w:t>
            </w:r>
          </w:p>
        </w:tc>
        <w:tc>
          <w:tcPr>
            <w:tcW w:w="1335" w:type="dxa"/>
          </w:tcPr>
          <w:p w14:paraId="0A1B94FD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5F2F68CD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38D477D6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4A060DC8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654B7E9B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1C44EF0E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F62" w14:paraId="63F141DE" w14:textId="77777777" w:rsidTr="00FB1F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hideMark/>
          </w:tcPr>
          <w:p w14:paraId="0C094A35" w14:textId="77777777" w:rsidR="00FB1F62" w:rsidRDefault="00FB1F62" w:rsidP="00FB1F62">
            <w:pPr>
              <w:rPr>
                <w:bCs w:val="0"/>
              </w:rPr>
            </w:pPr>
            <w:r>
              <w:rPr>
                <w:bCs w:val="0"/>
              </w:rPr>
              <w:t>Карьера</w:t>
            </w:r>
          </w:p>
        </w:tc>
        <w:tc>
          <w:tcPr>
            <w:tcW w:w="1335" w:type="dxa"/>
          </w:tcPr>
          <w:p w14:paraId="5B7096EA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095A69AD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6C94BD14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2126A10D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61FD4211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4BDC77EB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F62" w14:paraId="3199E4CE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hideMark/>
          </w:tcPr>
          <w:p w14:paraId="3978D723" w14:textId="77777777" w:rsidR="00FB1F62" w:rsidRDefault="00FB1F62" w:rsidP="00FB1F62">
            <w:pPr>
              <w:rPr>
                <w:bCs w:val="0"/>
              </w:rPr>
            </w:pPr>
            <w:r>
              <w:rPr>
                <w:bCs w:val="0"/>
              </w:rPr>
              <w:t>Бизнес</w:t>
            </w:r>
          </w:p>
        </w:tc>
        <w:tc>
          <w:tcPr>
            <w:tcW w:w="1335" w:type="dxa"/>
          </w:tcPr>
          <w:p w14:paraId="6BE22C5C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5ECCACAC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6D092803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1350D9A7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1FBA9823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546B4098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F62" w14:paraId="0F781BBC" w14:textId="77777777" w:rsidTr="00FB1F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hideMark/>
          </w:tcPr>
          <w:p w14:paraId="77EB87A7" w14:textId="77777777" w:rsidR="00FB1F62" w:rsidRDefault="00FB1F62" w:rsidP="00FB1F62">
            <w:pPr>
              <w:rPr>
                <w:bCs w:val="0"/>
              </w:rPr>
            </w:pPr>
            <w:r>
              <w:rPr>
                <w:bCs w:val="0"/>
              </w:rPr>
              <w:t>Личная эффективность</w:t>
            </w:r>
          </w:p>
        </w:tc>
        <w:tc>
          <w:tcPr>
            <w:tcW w:w="1335" w:type="dxa"/>
          </w:tcPr>
          <w:p w14:paraId="21C00330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5E47031B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654F0543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2389CF1B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78DB0AA2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0633E22A" w14:textId="77777777" w:rsidR="00FB1F62" w:rsidRDefault="00FB1F62" w:rsidP="00FB1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F62" w14:paraId="639461A1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hideMark/>
          </w:tcPr>
          <w:p w14:paraId="0DCCB0CD" w14:textId="77777777" w:rsidR="00FB1F62" w:rsidRDefault="00FB1F62" w:rsidP="00FB1F62">
            <w:pPr>
              <w:rPr>
                <w:bCs w:val="0"/>
              </w:rPr>
            </w:pPr>
            <w:r>
              <w:rPr>
                <w:bCs w:val="0"/>
              </w:rPr>
              <w:t>Семья</w:t>
            </w:r>
          </w:p>
        </w:tc>
        <w:tc>
          <w:tcPr>
            <w:tcW w:w="1335" w:type="dxa"/>
          </w:tcPr>
          <w:p w14:paraId="00A7501D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2DB91F62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31F5CAF2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3D776AD0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294974EF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</w:tcPr>
          <w:p w14:paraId="0217BC03" w14:textId="77777777" w:rsidR="00FB1F62" w:rsidRDefault="00FB1F62" w:rsidP="00F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725394" w14:textId="77777777" w:rsidR="00FB1F62" w:rsidRDefault="00FB1F62" w:rsidP="00FB1F62">
      <w:pPr>
        <w:rPr>
          <w:rFonts w:ascii="Calibri" w:hAnsi="Calibri"/>
        </w:rPr>
      </w:pPr>
    </w:p>
    <w:p w14:paraId="12FD2970" w14:textId="62F870D8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1.2. </w:t>
      </w:r>
      <w:r w:rsidRPr="00FB1F62">
        <w:rPr>
          <w:rStyle w:val="ae"/>
        </w:rPr>
        <w:t>Выпишите преимущества и недостатки каждого из пунктов, чтобы понять, насколько вам будет удобно или, наоборот, некомфортно так работать, чтобы определиться со своей стратегией и коммерческими предложениями.</w:t>
      </w:r>
    </w:p>
    <w:p w14:paraId="3DB1091E" w14:textId="3EBEC4E1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1.3. </w:t>
      </w:r>
      <w:r w:rsidRPr="00FB1F62">
        <w:rPr>
          <w:rStyle w:val="ae"/>
        </w:rPr>
        <w:t>Определите свои методики проведения консультаций:</w:t>
      </w:r>
    </w:p>
    <w:p w14:paraId="4BB79EA3" w14:textId="77777777" w:rsidR="00FB1F62" w:rsidRDefault="00FB1F62" w:rsidP="00FB1F62">
      <w:pPr>
        <w:rPr>
          <w:shd w:val="clear" w:color="auto" w:fill="FFFFFF"/>
        </w:rPr>
      </w:pPr>
      <w:r>
        <w:rPr>
          <w:b/>
          <w:shd w:val="clear" w:color="auto" w:fill="FFFFFF"/>
        </w:rPr>
        <w:t xml:space="preserve">— персональные; </w:t>
      </w:r>
    </w:p>
    <w:p w14:paraId="5E4DABC7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— командные, корпоративные; </w:t>
      </w:r>
    </w:p>
    <w:p w14:paraId="64C3E5F4" w14:textId="15910834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— групповые (массовые).</w:t>
      </w:r>
    </w:p>
    <w:p w14:paraId="77F47666" w14:textId="77777777" w:rsidR="00FB1F62" w:rsidRDefault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4A59BAB9" w14:textId="77777777" w:rsidR="00FB1F62" w:rsidRDefault="00FB1F62" w:rsidP="00FB1F62">
      <w:pPr>
        <w:pStyle w:val="2"/>
        <w:spacing w:before="0"/>
        <w:jc w:val="both"/>
        <w:rPr>
          <w:rFonts w:ascii="Calibri" w:hAnsi="Calibri"/>
          <w:b/>
          <w:sz w:val="28"/>
          <w:szCs w:val="28"/>
          <w:shd w:val="clear" w:color="auto" w:fill="FFFFFF"/>
        </w:rPr>
      </w:pP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1563"/>
        <w:gridCol w:w="1549"/>
        <w:gridCol w:w="1549"/>
        <w:gridCol w:w="1549"/>
        <w:gridCol w:w="1234"/>
        <w:gridCol w:w="1234"/>
        <w:gridCol w:w="1234"/>
      </w:tblGrid>
      <w:tr w:rsidR="00FB1F62" w14:paraId="7E772C49" w14:textId="77777777" w:rsidTr="00FB1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</w:tcPr>
          <w:p w14:paraId="6F5D396D" w14:textId="77777777" w:rsidR="00FB1F62" w:rsidRDefault="00FB1F62">
            <w:pPr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</w:p>
        </w:tc>
        <w:tc>
          <w:tcPr>
            <w:tcW w:w="1695" w:type="dxa"/>
            <w:hideMark/>
          </w:tcPr>
          <w:p w14:paraId="6670EBDA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Преимущество 1</w:t>
            </w:r>
          </w:p>
        </w:tc>
        <w:tc>
          <w:tcPr>
            <w:tcW w:w="1695" w:type="dxa"/>
            <w:hideMark/>
          </w:tcPr>
          <w:p w14:paraId="151501B5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Преимущество 2</w:t>
            </w:r>
          </w:p>
        </w:tc>
        <w:tc>
          <w:tcPr>
            <w:tcW w:w="1695" w:type="dxa"/>
            <w:hideMark/>
          </w:tcPr>
          <w:p w14:paraId="61EF4BBA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Преимущество 3</w:t>
            </w:r>
          </w:p>
        </w:tc>
        <w:tc>
          <w:tcPr>
            <w:tcW w:w="1346" w:type="dxa"/>
            <w:hideMark/>
          </w:tcPr>
          <w:p w14:paraId="343909A5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Недостаток 1</w:t>
            </w:r>
          </w:p>
        </w:tc>
        <w:tc>
          <w:tcPr>
            <w:tcW w:w="1346" w:type="dxa"/>
            <w:hideMark/>
          </w:tcPr>
          <w:p w14:paraId="0B33C813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Недостаток 2</w:t>
            </w:r>
          </w:p>
        </w:tc>
        <w:tc>
          <w:tcPr>
            <w:tcW w:w="1346" w:type="dxa"/>
            <w:hideMark/>
          </w:tcPr>
          <w:p w14:paraId="5C8F3F2B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Недостаток 3</w:t>
            </w:r>
          </w:p>
        </w:tc>
      </w:tr>
      <w:tr w:rsidR="00FB1F62" w14:paraId="2FC744A7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hideMark/>
          </w:tcPr>
          <w:p w14:paraId="3CEADA4A" w14:textId="77777777" w:rsidR="00FB1F62" w:rsidRDefault="00FB1F62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Персональные</w:t>
            </w:r>
          </w:p>
        </w:tc>
        <w:tc>
          <w:tcPr>
            <w:tcW w:w="1695" w:type="dxa"/>
          </w:tcPr>
          <w:p w14:paraId="18C526C5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5E6D1DE5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1B20BB3A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51BB5C29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1BCB84A9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9AD1338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B1F62" w14:paraId="1868D213" w14:textId="77777777" w:rsidTr="00FB1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hideMark/>
          </w:tcPr>
          <w:p w14:paraId="0AA1976F" w14:textId="77777777" w:rsidR="00FB1F62" w:rsidRDefault="00FB1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Командные</w:t>
            </w:r>
          </w:p>
        </w:tc>
        <w:tc>
          <w:tcPr>
            <w:tcW w:w="1695" w:type="dxa"/>
          </w:tcPr>
          <w:p w14:paraId="743B2BDA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1D0E42AF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4720EA0C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54BFAA38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57F21AB5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7DF76EF6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B1F62" w14:paraId="60AB9394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hideMark/>
          </w:tcPr>
          <w:p w14:paraId="084FDC60" w14:textId="77777777" w:rsidR="00FB1F62" w:rsidRDefault="00FB1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Групповые</w:t>
            </w:r>
          </w:p>
        </w:tc>
        <w:tc>
          <w:tcPr>
            <w:tcW w:w="1695" w:type="dxa"/>
          </w:tcPr>
          <w:p w14:paraId="7AC60E90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1B29934A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250443CB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FA98848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15DDFB37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7FFB2446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149823D" w14:textId="77777777" w:rsidR="00FB1F62" w:rsidRDefault="00FB1F62" w:rsidP="00FB1F62">
      <w:pPr>
        <w:rPr>
          <w:shd w:val="clear" w:color="auto" w:fill="FFFFFF"/>
          <w:lang w:eastAsia="ru-RU"/>
        </w:rPr>
      </w:pPr>
    </w:p>
    <w:p w14:paraId="6C162018" w14:textId="55D4D249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1.4. </w:t>
      </w:r>
      <w:r w:rsidRPr="00FB1F62">
        <w:rPr>
          <w:rStyle w:val="ae"/>
        </w:rPr>
        <w:t>Уровень значимости решаемых вопросов:</w:t>
      </w:r>
    </w:p>
    <w:p w14:paraId="27DA32EE" w14:textId="77777777" w:rsidR="00FB1F62" w:rsidRDefault="00FB1F62" w:rsidP="00FB1F62">
      <w:pPr>
        <w:rPr>
          <w:shd w:val="clear" w:color="auto" w:fill="FFFFFF"/>
        </w:rPr>
      </w:pPr>
      <w:r>
        <w:rPr>
          <w:b/>
          <w:shd w:val="clear" w:color="auto" w:fill="FFFFFF"/>
        </w:rPr>
        <w:t>— стратегический;</w:t>
      </w:r>
    </w:p>
    <w:p w14:paraId="78E091D3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— тактический;</w:t>
      </w:r>
    </w:p>
    <w:p w14:paraId="5A4742C9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— оперативный.</w:t>
      </w:r>
    </w:p>
    <w:p w14:paraId="7ADA1207" w14:textId="77777777" w:rsidR="00FB1F62" w:rsidRDefault="00FB1F62" w:rsidP="00FB1F62">
      <w:pPr>
        <w:pStyle w:val="2"/>
        <w:spacing w:before="0"/>
        <w:jc w:val="both"/>
        <w:rPr>
          <w:rFonts w:ascii="Calibri" w:hAnsi="Calibri"/>
          <w:b/>
          <w:sz w:val="28"/>
          <w:szCs w:val="28"/>
          <w:shd w:val="clear" w:color="auto" w:fill="FFFFFF"/>
        </w:rPr>
      </w:pP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1620"/>
        <w:gridCol w:w="1538"/>
        <w:gridCol w:w="1538"/>
        <w:gridCol w:w="1538"/>
        <w:gridCol w:w="1226"/>
        <w:gridCol w:w="1226"/>
        <w:gridCol w:w="1226"/>
      </w:tblGrid>
      <w:tr w:rsidR="00FB1F62" w14:paraId="35A10CFE" w14:textId="77777777" w:rsidTr="00FB1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</w:tcPr>
          <w:p w14:paraId="1AF27DCC" w14:textId="77777777" w:rsidR="00FB1F62" w:rsidRDefault="00FB1F62">
            <w:pPr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</w:p>
        </w:tc>
        <w:tc>
          <w:tcPr>
            <w:tcW w:w="1695" w:type="dxa"/>
            <w:hideMark/>
          </w:tcPr>
          <w:p w14:paraId="63D0BA46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Преимущество 1</w:t>
            </w:r>
          </w:p>
        </w:tc>
        <w:tc>
          <w:tcPr>
            <w:tcW w:w="1695" w:type="dxa"/>
            <w:hideMark/>
          </w:tcPr>
          <w:p w14:paraId="5986EDFD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Преимущество 2</w:t>
            </w:r>
          </w:p>
        </w:tc>
        <w:tc>
          <w:tcPr>
            <w:tcW w:w="1695" w:type="dxa"/>
            <w:hideMark/>
          </w:tcPr>
          <w:p w14:paraId="2864E598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Преимущество 3</w:t>
            </w:r>
          </w:p>
        </w:tc>
        <w:tc>
          <w:tcPr>
            <w:tcW w:w="1346" w:type="dxa"/>
            <w:hideMark/>
          </w:tcPr>
          <w:p w14:paraId="41C8B429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Недостаток 1</w:t>
            </w:r>
          </w:p>
        </w:tc>
        <w:tc>
          <w:tcPr>
            <w:tcW w:w="1346" w:type="dxa"/>
            <w:hideMark/>
          </w:tcPr>
          <w:p w14:paraId="4BB46EB9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Недостаток 2</w:t>
            </w:r>
          </w:p>
        </w:tc>
        <w:tc>
          <w:tcPr>
            <w:tcW w:w="1346" w:type="dxa"/>
            <w:hideMark/>
          </w:tcPr>
          <w:p w14:paraId="64088346" w14:textId="77777777" w:rsidR="00FB1F62" w:rsidRDefault="00FB1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Недостаток 3</w:t>
            </w:r>
          </w:p>
        </w:tc>
      </w:tr>
      <w:tr w:rsidR="00FB1F62" w14:paraId="7616F934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hideMark/>
          </w:tcPr>
          <w:p w14:paraId="7E7C29B6" w14:textId="77777777" w:rsidR="00FB1F62" w:rsidRDefault="00FB1F62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Стратегический</w:t>
            </w:r>
          </w:p>
        </w:tc>
        <w:tc>
          <w:tcPr>
            <w:tcW w:w="1695" w:type="dxa"/>
          </w:tcPr>
          <w:p w14:paraId="7C592938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038F3E29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29506544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0C49A84A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00C9D669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5A331E1C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B1F62" w14:paraId="164454E7" w14:textId="77777777" w:rsidTr="00FB1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hideMark/>
          </w:tcPr>
          <w:p w14:paraId="6A632DCF" w14:textId="77777777" w:rsidR="00FB1F62" w:rsidRDefault="00FB1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Тактический</w:t>
            </w:r>
          </w:p>
        </w:tc>
        <w:tc>
          <w:tcPr>
            <w:tcW w:w="1695" w:type="dxa"/>
          </w:tcPr>
          <w:p w14:paraId="79E14A05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52E18A44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318234A3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B2A1433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855D134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1F47884A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B1F62" w14:paraId="7EB1E114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hideMark/>
          </w:tcPr>
          <w:p w14:paraId="5679E979" w14:textId="77777777" w:rsidR="00FB1F62" w:rsidRDefault="00FB1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</w:t>
            </w:r>
          </w:p>
        </w:tc>
        <w:tc>
          <w:tcPr>
            <w:tcW w:w="1695" w:type="dxa"/>
          </w:tcPr>
          <w:p w14:paraId="1DFEB2B5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4F1A84DF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476844EA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0628A00D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5F90BA6F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E4D1881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914C2C4" w14:textId="77777777" w:rsidR="00FB1F62" w:rsidRDefault="00FB1F62" w:rsidP="00FB1F62">
      <w:pPr>
        <w:rPr>
          <w:shd w:val="clear" w:color="auto" w:fill="FFFFFF"/>
          <w:lang w:eastAsia="ru-RU"/>
        </w:rPr>
      </w:pPr>
    </w:p>
    <w:p w14:paraId="7C808E79" w14:textId="539C2C1F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1.5. </w:t>
      </w:r>
      <w:r w:rsidRPr="00FB1F62">
        <w:rPr>
          <w:rStyle w:val="ae"/>
        </w:rPr>
        <w:t>Время взаимодействия:</w:t>
      </w:r>
    </w:p>
    <w:p w14:paraId="6AE6BDC7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— долгосрочный;</w:t>
      </w:r>
    </w:p>
    <w:p w14:paraId="310B6505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— среднесрочный; </w:t>
      </w:r>
    </w:p>
    <w:p w14:paraId="1D2F2FAF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— краткосрочный; </w:t>
      </w:r>
    </w:p>
    <w:p w14:paraId="36450F43" w14:textId="1A8A5786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— текущий. </w:t>
      </w:r>
    </w:p>
    <w:p w14:paraId="484C6601" w14:textId="77777777" w:rsidR="009110D2" w:rsidRDefault="009110D2" w:rsidP="00FB1F62">
      <w:pPr>
        <w:rPr>
          <w:b/>
          <w:shd w:val="clear" w:color="auto" w:fill="FFFFFF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1690"/>
        <w:gridCol w:w="1526"/>
        <w:gridCol w:w="1527"/>
        <w:gridCol w:w="1527"/>
        <w:gridCol w:w="1214"/>
        <w:gridCol w:w="1214"/>
        <w:gridCol w:w="1214"/>
      </w:tblGrid>
      <w:tr w:rsidR="00D54DE1" w:rsidRPr="00D54DE1" w14:paraId="7EE22F1F" w14:textId="77777777" w:rsidTr="0091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14:paraId="0E08F36C" w14:textId="77777777" w:rsidR="00D54DE1" w:rsidRPr="00D54DE1" w:rsidRDefault="00D54DE1" w:rsidP="00D54DE1">
            <w:pPr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6" w:type="dxa"/>
          </w:tcPr>
          <w:p w14:paraId="086F23F2" w14:textId="6538C305" w:rsidR="00D54DE1" w:rsidRPr="009110D2" w:rsidRDefault="00D54DE1" w:rsidP="00D54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Преимущество 1</w:t>
            </w:r>
          </w:p>
        </w:tc>
        <w:tc>
          <w:tcPr>
            <w:tcW w:w="1527" w:type="dxa"/>
          </w:tcPr>
          <w:p w14:paraId="2AC2A6C0" w14:textId="53B41A2B" w:rsidR="00D54DE1" w:rsidRPr="009110D2" w:rsidRDefault="00D54DE1" w:rsidP="00D54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Преимущество 2</w:t>
            </w:r>
          </w:p>
        </w:tc>
        <w:tc>
          <w:tcPr>
            <w:tcW w:w="1527" w:type="dxa"/>
          </w:tcPr>
          <w:p w14:paraId="0883D132" w14:textId="611DD3C1" w:rsidR="00D54DE1" w:rsidRPr="009110D2" w:rsidRDefault="00D54DE1" w:rsidP="00D54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Преимущество 3</w:t>
            </w:r>
          </w:p>
        </w:tc>
        <w:tc>
          <w:tcPr>
            <w:tcW w:w="1214" w:type="dxa"/>
          </w:tcPr>
          <w:p w14:paraId="43FD1C8B" w14:textId="30BB7054" w:rsidR="00D54DE1" w:rsidRPr="009110D2" w:rsidRDefault="00D54DE1" w:rsidP="00D54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Недостаток 1</w:t>
            </w:r>
          </w:p>
        </w:tc>
        <w:tc>
          <w:tcPr>
            <w:tcW w:w="1214" w:type="dxa"/>
          </w:tcPr>
          <w:p w14:paraId="603CCEDF" w14:textId="52044278" w:rsidR="00D54DE1" w:rsidRPr="009110D2" w:rsidRDefault="00D54DE1" w:rsidP="00D54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Недостаток 2</w:t>
            </w:r>
          </w:p>
        </w:tc>
        <w:tc>
          <w:tcPr>
            <w:tcW w:w="1214" w:type="dxa"/>
          </w:tcPr>
          <w:p w14:paraId="17D91AB4" w14:textId="4C8E0AC0" w:rsidR="00D54DE1" w:rsidRPr="009110D2" w:rsidRDefault="00D54DE1" w:rsidP="00D54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Недостаток 3</w:t>
            </w:r>
          </w:p>
        </w:tc>
      </w:tr>
      <w:tr w:rsidR="00D54DE1" w:rsidRPr="00D54DE1" w14:paraId="434D0853" w14:textId="77777777" w:rsidTr="0091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14:paraId="4636C042" w14:textId="35024DE9" w:rsidR="00D54DE1" w:rsidRPr="009110D2" w:rsidRDefault="009110D2" w:rsidP="00D54DE1">
            <w:pPr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9110D2">
              <w:rPr>
                <w:sz w:val="20"/>
                <w:szCs w:val="20"/>
                <w:shd w:val="clear" w:color="auto" w:fill="FFFFFF"/>
                <w:lang w:eastAsia="ru-RU"/>
              </w:rPr>
              <w:t>Долгосрочный</w:t>
            </w:r>
          </w:p>
        </w:tc>
        <w:tc>
          <w:tcPr>
            <w:tcW w:w="1526" w:type="dxa"/>
          </w:tcPr>
          <w:p w14:paraId="3D7A7187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1D6221CF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58B7CCE7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1E3C976E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158A24D0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6FB30ED6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54DE1" w:rsidRPr="00D54DE1" w14:paraId="614DDE90" w14:textId="77777777" w:rsidTr="009110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14:paraId="2E53F1EF" w14:textId="0429B27B" w:rsidR="00D54DE1" w:rsidRPr="009110D2" w:rsidRDefault="00D54DE1" w:rsidP="00D54DE1">
            <w:pPr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9110D2">
              <w:rPr>
                <w:sz w:val="20"/>
                <w:szCs w:val="20"/>
                <w:shd w:val="clear" w:color="auto" w:fill="FFFFFF"/>
                <w:lang w:eastAsia="ru-RU"/>
              </w:rPr>
              <w:t>Среднесрочный</w:t>
            </w:r>
          </w:p>
        </w:tc>
        <w:tc>
          <w:tcPr>
            <w:tcW w:w="1526" w:type="dxa"/>
          </w:tcPr>
          <w:p w14:paraId="65753AE2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5D60E0DE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689F8CA6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4BE39AA4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75B0535A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087A925E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54DE1" w:rsidRPr="00D54DE1" w14:paraId="0F1F07F2" w14:textId="77777777" w:rsidTr="0091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14:paraId="2226EA89" w14:textId="3CE271E0" w:rsidR="00D54DE1" w:rsidRPr="009110D2" w:rsidRDefault="00D54DE1" w:rsidP="00D54DE1">
            <w:pPr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9110D2">
              <w:rPr>
                <w:sz w:val="20"/>
                <w:szCs w:val="20"/>
                <w:shd w:val="clear" w:color="auto" w:fill="FFFFFF"/>
                <w:lang w:eastAsia="ru-RU"/>
              </w:rPr>
              <w:t>Краткосрочный</w:t>
            </w:r>
          </w:p>
        </w:tc>
        <w:tc>
          <w:tcPr>
            <w:tcW w:w="1526" w:type="dxa"/>
          </w:tcPr>
          <w:p w14:paraId="4A004736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07B8BA5D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54D229CC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1D9A50CD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441A8C35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4981AEE3" w14:textId="77777777" w:rsidR="00D54DE1" w:rsidRPr="00D54DE1" w:rsidRDefault="00D54DE1" w:rsidP="00D54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54DE1" w:rsidRPr="00D54DE1" w14:paraId="2C166345" w14:textId="77777777" w:rsidTr="009110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14:paraId="76F63CD6" w14:textId="3252D4AB" w:rsidR="00D54DE1" w:rsidRPr="009110D2" w:rsidRDefault="00D54DE1" w:rsidP="00D54DE1">
            <w:pPr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9110D2">
              <w:rPr>
                <w:sz w:val="20"/>
                <w:szCs w:val="20"/>
                <w:shd w:val="clear" w:color="auto" w:fill="FFFFFF"/>
                <w:lang w:eastAsia="ru-RU"/>
              </w:rPr>
              <w:t>Текущий</w:t>
            </w:r>
          </w:p>
        </w:tc>
        <w:tc>
          <w:tcPr>
            <w:tcW w:w="1526" w:type="dxa"/>
          </w:tcPr>
          <w:p w14:paraId="5F88C478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1CE60AA2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7" w:type="dxa"/>
          </w:tcPr>
          <w:p w14:paraId="4032B6ED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74A08646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4D4C2603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14" w:type="dxa"/>
          </w:tcPr>
          <w:p w14:paraId="7D5B2138" w14:textId="77777777" w:rsidR="00D54DE1" w:rsidRPr="00D54DE1" w:rsidRDefault="00D54DE1" w:rsidP="00D54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14:paraId="5CBFAC1A" w14:textId="77777777" w:rsidR="00D54DE1" w:rsidRPr="00D54DE1" w:rsidRDefault="00D54DE1" w:rsidP="00D54DE1">
      <w:pPr>
        <w:rPr>
          <w:sz w:val="20"/>
          <w:szCs w:val="20"/>
          <w:shd w:val="clear" w:color="auto" w:fill="FFFFFF"/>
          <w:lang w:eastAsia="ru-RU"/>
        </w:rPr>
      </w:pPr>
    </w:p>
    <w:p w14:paraId="250B0D20" w14:textId="5FFDA2A5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1.6. </w:t>
      </w:r>
      <w:r w:rsidRPr="00FB1F62">
        <w:rPr>
          <w:rStyle w:val="ae"/>
        </w:rPr>
        <w:t>Формат проведения занятий:</w:t>
      </w:r>
    </w:p>
    <w:p w14:paraId="340344D7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— онлайн (дистанционно, заочно);</w:t>
      </w:r>
    </w:p>
    <w:p w14:paraId="7C74B921" w14:textId="77777777" w:rsidR="00FB1F62" w:rsidRDefault="00FB1F62" w:rsidP="00FB1F6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— офлайн (на месте, методом живого общения).</w:t>
      </w:r>
    </w:p>
    <w:p w14:paraId="24EF1CB4" w14:textId="77777777" w:rsidR="00FB1F62" w:rsidRDefault="00FB1F62" w:rsidP="00FB1F62">
      <w:pPr>
        <w:pStyle w:val="2"/>
        <w:spacing w:before="0"/>
        <w:jc w:val="both"/>
        <w:rPr>
          <w:rFonts w:ascii="Calibri" w:hAnsi="Calibri"/>
          <w:b/>
          <w:sz w:val="28"/>
          <w:szCs w:val="28"/>
          <w:shd w:val="clear" w:color="auto" w:fill="FFFFFF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1050"/>
        <w:gridCol w:w="1647"/>
        <w:gridCol w:w="1648"/>
        <w:gridCol w:w="1649"/>
        <w:gridCol w:w="1306"/>
        <w:gridCol w:w="1306"/>
        <w:gridCol w:w="1306"/>
      </w:tblGrid>
      <w:tr w:rsidR="009110D2" w:rsidRPr="009110D2" w14:paraId="67152D82" w14:textId="77777777" w:rsidTr="0091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42CE6A8" w14:textId="77777777" w:rsidR="009110D2" w:rsidRDefault="009110D2" w:rsidP="009110D2">
            <w:pPr>
              <w:pStyle w:val="2"/>
              <w:spacing w:before="0"/>
              <w:jc w:val="center"/>
              <w:outlineLvl w:val="1"/>
              <w:rPr>
                <w:rFonts w:ascii="Calibri" w:hAnsi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hideMark/>
          </w:tcPr>
          <w:p w14:paraId="49997686" w14:textId="73E489EE" w:rsidR="009110D2" w:rsidRPr="009110D2" w:rsidRDefault="009110D2" w:rsidP="0091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Преимущество 1</w:t>
            </w:r>
          </w:p>
        </w:tc>
        <w:tc>
          <w:tcPr>
            <w:tcW w:w="1666" w:type="dxa"/>
            <w:hideMark/>
          </w:tcPr>
          <w:p w14:paraId="1F64D510" w14:textId="1FB3ABD3" w:rsidR="009110D2" w:rsidRPr="009110D2" w:rsidRDefault="009110D2" w:rsidP="0091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Преимущество 2</w:t>
            </w:r>
          </w:p>
        </w:tc>
        <w:tc>
          <w:tcPr>
            <w:tcW w:w="1666" w:type="dxa"/>
            <w:hideMark/>
          </w:tcPr>
          <w:p w14:paraId="7A4E8D3E" w14:textId="30A442C0" w:rsidR="009110D2" w:rsidRPr="009110D2" w:rsidRDefault="009110D2" w:rsidP="0091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Преимущество 3</w:t>
            </w:r>
          </w:p>
        </w:tc>
        <w:tc>
          <w:tcPr>
            <w:tcW w:w="1319" w:type="dxa"/>
            <w:hideMark/>
          </w:tcPr>
          <w:p w14:paraId="328D79D6" w14:textId="59B6713A" w:rsidR="009110D2" w:rsidRPr="009110D2" w:rsidRDefault="009110D2" w:rsidP="0091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Недостаток 1</w:t>
            </w:r>
          </w:p>
        </w:tc>
        <w:tc>
          <w:tcPr>
            <w:tcW w:w="1319" w:type="dxa"/>
            <w:hideMark/>
          </w:tcPr>
          <w:p w14:paraId="7887D963" w14:textId="156CB458" w:rsidR="009110D2" w:rsidRPr="009110D2" w:rsidRDefault="009110D2" w:rsidP="0091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Недостаток 2</w:t>
            </w:r>
          </w:p>
        </w:tc>
        <w:tc>
          <w:tcPr>
            <w:tcW w:w="1319" w:type="dxa"/>
            <w:hideMark/>
          </w:tcPr>
          <w:p w14:paraId="0EAB9238" w14:textId="2D6E6FD1" w:rsidR="009110D2" w:rsidRPr="009110D2" w:rsidRDefault="009110D2" w:rsidP="0091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9110D2">
              <w:rPr>
                <w:sz w:val="18"/>
                <w:szCs w:val="18"/>
                <w:shd w:val="clear" w:color="auto" w:fill="FFFFFF"/>
                <w:lang w:eastAsia="ru-RU"/>
              </w:rPr>
              <w:t>Недостаток 3</w:t>
            </w:r>
          </w:p>
        </w:tc>
      </w:tr>
      <w:tr w:rsidR="00FB1F62" w14:paraId="1F7C41F5" w14:textId="77777777" w:rsidTr="0091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shd w:val="clear" w:color="auto" w:fill="auto"/>
            <w:hideMark/>
          </w:tcPr>
          <w:p w14:paraId="327FB2CA" w14:textId="77777777" w:rsidR="00FB1F62" w:rsidRPr="009110D2" w:rsidRDefault="00FB1F62">
            <w:pPr>
              <w:pStyle w:val="2"/>
              <w:spacing w:before="0"/>
              <w:outlineLvl w:val="1"/>
              <w:rPr>
                <w:rFonts w:ascii="Calibri" w:hAnsi="Calibri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bookmarkStart w:id="2" w:name="_Toc24147749"/>
            <w:r w:rsidRPr="009110D2">
              <w:rPr>
                <w:rFonts w:ascii="Calibri" w:hAnsi="Calibri"/>
                <w:bCs w:val="0"/>
                <w:color w:val="auto"/>
                <w:sz w:val="24"/>
                <w:szCs w:val="24"/>
                <w:shd w:val="clear" w:color="auto" w:fill="FFFFFF"/>
              </w:rPr>
              <w:t>Онлайн</w:t>
            </w:r>
            <w:bookmarkEnd w:id="2"/>
          </w:p>
        </w:tc>
        <w:tc>
          <w:tcPr>
            <w:tcW w:w="1665" w:type="dxa"/>
          </w:tcPr>
          <w:p w14:paraId="67FAABB3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14:paraId="1699D456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14:paraId="2673A6B5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9" w:type="dxa"/>
          </w:tcPr>
          <w:p w14:paraId="3DCF41D3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9" w:type="dxa"/>
          </w:tcPr>
          <w:p w14:paraId="531D0DD9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9" w:type="dxa"/>
          </w:tcPr>
          <w:p w14:paraId="1CA921A4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110D2" w14:paraId="7BFEEBAF" w14:textId="77777777" w:rsidTr="009110D2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shd w:val="clear" w:color="auto" w:fill="auto"/>
            <w:hideMark/>
          </w:tcPr>
          <w:p w14:paraId="7CFB2260" w14:textId="77777777" w:rsidR="00FB1F62" w:rsidRPr="009110D2" w:rsidRDefault="00FB1F62">
            <w:pPr>
              <w:pStyle w:val="2"/>
              <w:spacing w:before="0"/>
              <w:outlineLvl w:val="1"/>
              <w:rPr>
                <w:rFonts w:ascii="Calibri" w:hAnsi="Calibri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bookmarkStart w:id="3" w:name="_Toc24147750"/>
            <w:r w:rsidRPr="009110D2">
              <w:rPr>
                <w:rFonts w:ascii="Calibri" w:hAnsi="Calibri"/>
                <w:bCs w:val="0"/>
                <w:color w:val="auto"/>
                <w:sz w:val="24"/>
                <w:szCs w:val="24"/>
                <w:shd w:val="clear" w:color="auto" w:fill="FFFFFF"/>
              </w:rPr>
              <w:t>Офлайн</w:t>
            </w:r>
            <w:bookmarkEnd w:id="3"/>
          </w:p>
        </w:tc>
        <w:tc>
          <w:tcPr>
            <w:tcW w:w="1665" w:type="dxa"/>
          </w:tcPr>
          <w:p w14:paraId="4962BCED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14:paraId="6BF6BA45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6" w:type="dxa"/>
          </w:tcPr>
          <w:p w14:paraId="7354D1AA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9" w:type="dxa"/>
          </w:tcPr>
          <w:p w14:paraId="17FC567B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9" w:type="dxa"/>
          </w:tcPr>
          <w:p w14:paraId="468E5991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9" w:type="dxa"/>
          </w:tcPr>
          <w:p w14:paraId="5E0EE1F2" w14:textId="77777777" w:rsidR="00FB1F62" w:rsidRDefault="00FB1F62">
            <w:pPr>
              <w:pStyle w:val="2"/>
              <w:spacing w:before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7DA4928E" w14:textId="77777777" w:rsidR="00FB1F62" w:rsidRDefault="00FB1F62" w:rsidP="00FB1F62">
      <w:pPr>
        <w:spacing w:after="0" w:line="240" w:lineRule="auto"/>
        <w:jc w:val="both"/>
        <w:rPr>
          <w:rFonts w:ascii="Calibri" w:eastAsia="Verdana" w:hAnsi="Calibri"/>
          <w:sz w:val="28"/>
          <w:szCs w:val="28"/>
        </w:rPr>
      </w:pPr>
    </w:p>
    <w:p w14:paraId="032F0BF7" w14:textId="77777777" w:rsidR="00FB1F62" w:rsidRDefault="00FB1F62">
      <w:pPr>
        <w:rPr>
          <w:rFonts w:asciiTheme="majorHAnsi" w:eastAsia="Verdan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rFonts w:eastAsia="Verdana"/>
        </w:rPr>
        <w:br w:type="page"/>
      </w:r>
    </w:p>
    <w:p w14:paraId="2D9746B3" w14:textId="0EA8F797" w:rsidR="00FB1F62" w:rsidRDefault="00FB1F62" w:rsidP="00FB1F62">
      <w:pPr>
        <w:pStyle w:val="1"/>
        <w:rPr>
          <w:rFonts w:eastAsia="Verdana"/>
        </w:rPr>
      </w:pPr>
      <w:bookmarkStart w:id="4" w:name="_Toc24147751"/>
      <w:r>
        <w:rPr>
          <w:rFonts w:eastAsia="Verdana"/>
        </w:rPr>
        <w:lastRenderedPageBreak/>
        <w:t>2. Развитие методики четырехсторонней коммуникации</w:t>
      </w:r>
      <w:bookmarkEnd w:id="4"/>
    </w:p>
    <w:p w14:paraId="1F801746" w14:textId="77777777" w:rsidR="00FB1F62" w:rsidRDefault="00FB1F62" w:rsidP="00FB1F62">
      <w:pPr>
        <w:spacing w:after="0" w:line="240" w:lineRule="auto"/>
        <w:jc w:val="both"/>
        <w:rPr>
          <w:rFonts w:eastAsia="Verdana"/>
          <w:sz w:val="28"/>
          <w:szCs w:val="28"/>
        </w:rPr>
      </w:pPr>
    </w:p>
    <w:p w14:paraId="10098E88" w14:textId="646CCC57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2.1. </w:t>
      </w:r>
      <w:r w:rsidRPr="00FB1F62">
        <w:rPr>
          <w:rStyle w:val="ae"/>
        </w:rPr>
        <w:t>Попрактикуйтесь задавать клиенту вопросы четырех типов.</w:t>
      </w:r>
    </w:p>
    <w:p w14:paraId="59ADB06D" w14:textId="27EE450A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>Начинающиеся с «Что...», «Как...», «Почему...», «Когда...», «</w:t>
      </w:r>
      <w:proofErr w:type="gramStart"/>
      <w:r w:rsidRPr="00FB1F62">
        <w:rPr>
          <w:rStyle w:val="ae"/>
        </w:rPr>
        <w:t>Где..</w:t>
      </w:r>
      <w:proofErr w:type="gramEnd"/>
      <w:r w:rsidRPr="00FB1F62">
        <w:rPr>
          <w:rStyle w:val="ae"/>
        </w:rPr>
        <w:t>», «Не так ли?», «Не правда ли?».</w:t>
      </w:r>
    </w:p>
    <w:p w14:paraId="77562833" w14:textId="25EBCA3C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>«Как именно вы понимаете эту фразу?» или «Что для вас означает эта реакция?».</w:t>
      </w:r>
    </w:p>
    <w:p w14:paraId="3F512E3B" w14:textId="675310C4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>«Откуда вы это знаете?», «Почему вы так думаете?», «Есть ли какие-то доказательства, что это правда?», «Когда-нибудь раньше вы ошибались? Что в этом плохого?» и т.п.</w:t>
      </w:r>
    </w:p>
    <w:p w14:paraId="28675118" w14:textId="72198879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 xml:space="preserve">«Как вы хотели бы воплотить эту идею?» </w:t>
      </w:r>
    </w:p>
    <w:p w14:paraId="1E9EE062" w14:textId="03DF3C33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>«С чего бы вы хотели начать решение задачи?» или «Как вы считаете, что произойдет, если вы получите то, о чем мечтаете?».</w:t>
      </w:r>
    </w:p>
    <w:p w14:paraId="5012E133" w14:textId="77777777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 xml:space="preserve">«А что, если...» </w:t>
      </w:r>
    </w:p>
    <w:p w14:paraId="7F5633F2" w14:textId="77777777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>«Я не буду спрашивать, начнете ли вы действовать завтра или через неделю, это решать вам».</w:t>
      </w:r>
    </w:p>
    <w:p w14:paraId="2913C3A0" w14:textId="77777777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>«Быстрее, чем кто?», «В сравнении с кем/чем?», «Хуже, чем кто/что/когда?».</w:t>
      </w:r>
    </w:p>
    <w:p w14:paraId="76449C93" w14:textId="77777777" w:rsidR="00FB1F62" w:rsidRPr="00FB1F62" w:rsidRDefault="00FB1F62" w:rsidP="00FB1F62">
      <w:pPr>
        <w:pStyle w:val="a3"/>
        <w:numPr>
          <w:ilvl w:val="0"/>
          <w:numId w:val="12"/>
        </w:numPr>
        <w:rPr>
          <w:rStyle w:val="ae"/>
        </w:rPr>
      </w:pPr>
      <w:r w:rsidRPr="00FB1F62">
        <w:rPr>
          <w:rStyle w:val="ae"/>
        </w:rPr>
        <w:t>«Мне интересно, почему вы так решили?»</w:t>
      </w:r>
    </w:p>
    <w:p w14:paraId="4137B03C" w14:textId="77777777" w:rsidR="00FB1F62" w:rsidRPr="00FB1F62" w:rsidRDefault="00FB1F62" w:rsidP="00FB1F62">
      <w:pPr>
        <w:rPr>
          <w:rStyle w:val="ae"/>
        </w:rPr>
      </w:pPr>
    </w:p>
    <w:p w14:paraId="7A0900D3" w14:textId="77777777" w:rsidR="00FB1F62" w:rsidRDefault="00FB1F62">
      <w:pPr>
        <w:rPr>
          <w:rFonts w:asciiTheme="majorHAnsi" w:eastAsia="Verdan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5" w:name="_30j0zll"/>
      <w:bookmarkStart w:id="6" w:name="_1fob9te"/>
      <w:bookmarkEnd w:id="5"/>
      <w:bookmarkEnd w:id="6"/>
      <w:r>
        <w:rPr>
          <w:rFonts w:eastAsia="Verdana"/>
        </w:rPr>
        <w:br w:type="page"/>
      </w:r>
    </w:p>
    <w:p w14:paraId="1070B8F4" w14:textId="1A02D744" w:rsidR="00FB1F62" w:rsidRDefault="00FB1F62" w:rsidP="00FB1F62">
      <w:pPr>
        <w:pStyle w:val="1"/>
        <w:rPr>
          <w:rFonts w:eastAsia="Verdana"/>
        </w:rPr>
      </w:pPr>
      <w:bookmarkStart w:id="7" w:name="_Toc24147752"/>
      <w:r>
        <w:rPr>
          <w:rFonts w:eastAsia="Verdana"/>
        </w:rPr>
        <w:lastRenderedPageBreak/>
        <w:t>3. Тест на стиль общения</w:t>
      </w:r>
      <w:bookmarkEnd w:id="7"/>
    </w:p>
    <w:p w14:paraId="35789049" w14:textId="1B940EA7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3.1. </w:t>
      </w:r>
      <w:r w:rsidRPr="00FB1F62">
        <w:rPr>
          <w:rStyle w:val="ae"/>
        </w:rPr>
        <w:t>Понаблюдайте за тем, как ведут дискуссии люди в вашей компании, не оставляйте вниманием и себя. Запишите наблюдения. Определите, к какому стилю общения относятся следующие фразы:</w:t>
      </w:r>
    </w:p>
    <w:p w14:paraId="6D44120A" w14:textId="77777777" w:rsidR="00FB1F62" w:rsidRDefault="00FB1F62" w:rsidP="00FB1F62">
      <w:pPr>
        <w:rPr>
          <w:rFonts w:ascii="Calibri" w:hAnsi="Calibri"/>
        </w:rPr>
      </w:pPr>
      <w:r>
        <w:t xml:space="preserve">а) длинные предложения и преобладание монолога в речи; </w:t>
      </w:r>
    </w:p>
    <w:p w14:paraId="6774FB72" w14:textId="77777777" w:rsidR="00FB1F62" w:rsidRDefault="00FB1F62" w:rsidP="00FB1F62">
      <w:r>
        <w:t xml:space="preserve">б) большое количество «я» в речи; </w:t>
      </w:r>
    </w:p>
    <w:p w14:paraId="0DDF4153" w14:textId="77777777" w:rsidR="00FB1F62" w:rsidRDefault="00FB1F62" w:rsidP="00FB1F62">
      <w:r>
        <w:t xml:space="preserve">в) короткие замечания строго по делу; </w:t>
      </w:r>
    </w:p>
    <w:p w14:paraId="48D9B8C3" w14:textId="77777777" w:rsidR="00FB1F62" w:rsidRDefault="00FB1F62" w:rsidP="00FB1F62">
      <w:r>
        <w:t xml:space="preserve">г) открытые вопросы; </w:t>
      </w:r>
    </w:p>
    <w:p w14:paraId="6391DFBD" w14:textId="77777777" w:rsidR="00FB1F62" w:rsidRDefault="00FB1F62" w:rsidP="00FB1F62">
      <w:r>
        <w:t>д) фразы-противоречия: «Это, конечно, глупость, но…»;</w:t>
      </w:r>
    </w:p>
    <w:p w14:paraId="6E4139C3" w14:textId="77777777" w:rsidR="00FB1F62" w:rsidRDefault="00FB1F62" w:rsidP="00FB1F62">
      <w:r>
        <w:t xml:space="preserve">е) мнение, высказанное как непреложная истина, факт; </w:t>
      </w:r>
    </w:p>
    <w:p w14:paraId="5751E174" w14:textId="77777777" w:rsidR="00FB1F62" w:rsidRDefault="00FB1F62" w:rsidP="00FB1F62">
      <w:r>
        <w:t xml:space="preserve">ж) фразы типа «лучше бы вам…»; </w:t>
      </w:r>
    </w:p>
    <w:p w14:paraId="7B430377" w14:textId="77777777" w:rsidR="00FB1F62" w:rsidRDefault="00FB1F62" w:rsidP="00FB1F62">
      <w:r>
        <w:t xml:space="preserve">з) вводные слова или слова-паразиты «вы знаете», «типа», «на самом деле»; </w:t>
      </w:r>
    </w:p>
    <w:p w14:paraId="54E8F4C0" w14:textId="77777777" w:rsidR="00FB1F62" w:rsidRDefault="00FB1F62" w:rsidP="00FB1F62">
      <w:r>
        <w:t xml:space="preserve">и) обесценивание: «Вы что, шутите?», «О чем вы говорите?», «Не волнуйтесь по этому поводу», «Многие в ваши годы уже… (командуют полком, дослужились до генерала, слетали в космос и пр.)»; </w:t>
      </w:r>
    </w:p>
    <w:p w14:paraId="080241CB" w14:textId="77777777" w:rsidR="00FB1F62" w:rsidRDefault="00FB1F62" w:rsidP="00FB1F62">
      <w:r>
        <w:t xml:space="preserve">к) самоуничижение, фразы вроде «я не сумею», «я не смогу»; </w:t>
      </w:r>
    </w:p>
    <w:p w14:paraId="59A2CCA1" w14:textId="77777777" w:rsidR="00FB1F62" w:rsidRDefault="00FB1F62" w:rsidP="00FB1F62">
      <w:r>
        <w:t xml:space="preserve">л) четкое разделение правды и вымысла: «Я считаю, что…», «Мой опыт мне говорит о том, что…»; </w:t>
      </w:r>
    </w:p>
    <w:p w14:paraId="55912C0E" w14:textId="77777777" w:rsidR="00FB1F62" w:rsidRDefault="00FB1F62" w:rsidP="00FB1F62">
      <w:r>
        <w:t xml:space="preserve">м) разрешающие фразы или вопросы: «Вы не против, если я…», «Прошу прощения, что беспокою, но…»; </w:t>
      </w:r>
    </w:p>
    <w:p w14:paraId="3D5400AF" w14:textId="77777777" w:rsidR="00FB1F62" w:rsidRDefault="00FB1F62" w:rsidP="00FB1F62">
      <w:r>
        <w:t xml:space="preserve">н) я-предложения (правильно составленные я-высказывания): «я думаю», «я считаю», «я бы хотел»; </w:t>
      </w:r>
    </w:p>
    <w:p w14:paraId="5AAB0D1E" w14:textId="77777777" w:rsidR="00FB1F62" w:rsidRDefault="00FB1F62" w:rsidP="00FB1F62">
      <w:r>
        <w:t xml:space="preserve">о) перенос вины: «Но вы сказали, что…», «Вы сами виноваты в том, что…»; </w:t>
      </w:r>
    </w:p>
    <w:p w14:paraId="32774E49" w14:textId="4671968A" w:rsidR="00FB1F62" w:rsidRPr="00FB1F62" w:rsidRDefault="00FB1F62" w:rsidP="00FB1F62">
      <w:r>
        <w:t xml:space="preserve">п) уточняющие открытые вопросы, направленные на то, чтобы пояснить мысль: «Как это влияет на вас?», «Как насчет…», «Как можно поступить?». </w:t>
      </w:r>
    </w:p>
    <w:p w14:paraId="101E8DA4" w14:textId="77777777" w:rsidR="00FB1F62" w:rsidRDefault="00FB1F62">
      <w:pPr>
        <w:rPr>
          <w:rFonts w:asciiTheme="majorHAnsi" w:eastAsia="Verdan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8" w:name="_2et92p0"/>
      <w:bookmarkEnd w:id="8"/>
      <w:r>
        <w:rPr>
          <w:rFonts w:eastAsia="Verdana"/>
        </w:rPr>
        <w:br w:type="page"/>
      </w:r>
    </w:p>
    <w:p w14:paraId="26031BB7" w14:textId="5225D30D" w:rsidR="00FB1F62" w:rsidRDefault="00FB1F62" w:rsidP="00FB1F62">
      <w:pPr>
        <w:pStyle w:val="1"/>
        <w:rPr>
          <w:rFonts w:eastAsia="Verdana"/>
        </w:rPr>
      </w:pPr>
      <w:bookmarkStart w:id="9" w:name="_Toc24147753"/>
      <w:r>
        <w:rPr>
          <w:rFonts w:eastAsia="Verdana"/>
        </w:rPr>
        <w:lastRenderedPageBreak/>
        <w:t>4. Моделирование колеса жизненного баланса</w:t>
      </w:r>
      <w:bookmarkEnd w:id="9"/>
    </w:p>
    <w:p w14:paraId="604B031C" w14:textId="77777777" w:rsidR="00FB1F62" w:rsidRDefault="00FB1F62" w:rsidP="00FB1F62">
      <w:pPr>
        <w:pStyle w:val="2"/>
        <w:spacing w:before="0"/>
        <w:jc w:val="both"/>
        <w:rPr>
          <w:rFonts w:ascii="Calibri" w:eastAsia="Times New Roman" w:hAnsi="Calibri"/>
          <w:sz w:val="28"/>
          <w:szCs w:val="28"/>
        </w:rPr>
      </w:pPr>
      <w:bookmarkStart w:id="10" w:name="_tyjcwt"/>
      <w:bookmarkEnd w:id="10"/>
    </w:p>
    <w:p w14:paraId="38C33BE3" w14:textId="5E04396B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4.1. </w:t>
      </w:r>
      <w:r w:rsidRPr="00FB1F62">
        <w:rPr>
          <w:rStyle w:val="ae"/>
        </w:rPr>
        <w:t xml:space="preserve">Возьмите лист бумаги. Нарисуйте круг и разделите на части, каждая из которых будет представлять какую-то из сфер жизни. </w:t>
      </w:r>
    </w:p>
    <w:p w14:paraId="34DD50D4" w14:textId="77777777" w:rsidR="00FB1F62" w:rsidRDefault="00FB1F62" w:rsidP="00FB1F62">
      <w:pPr>
        <w:rPr>
          <w:rFonts w:ascii="Calibri" w:hAnsi="Calibri"/>
        </w:rPr>
      </w:pPr>
      <w:r>
        <w:t xml:space="preserve">Например: друзья, здоровье (упражнения, диета, фитнес), деньги и финансы (инвестиции, сбережения), личное развитие, отдых (спорт, хобби), работа (карьерные достижения), отношения (настоящий или будущий партнер), семья (дети, родители, родственники). </w:t>
      </w:r>
    </w:p>
    <w:p w14:paraId="297294EE" w14:textId="77777777" w:rsidR="00FB1F62" w:rsidRDefault="00FB1F62" w:rsidP="00FB1F62">
      <w:r>
        <w:t xml:space="preserve">Каждый сегмент оценивается по 10-балльной шкале, насколько клиент счастлив в этой области своей жизни: 1 — совсем не счастлив, 10 — все великолепно. </w:t>
      </w:r>
    </w:p>
    <w:p w14:paraId="2BC845FB" w14:textId="7735485B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4.2. </w:t>
      </w:r>
      <w:r w:rsidRPr="00FB1F62">
        <w:rPr>
          <w:rStyle w:val="ae"/>
        </w:rPr>
        <w:t xml:space="preserve">По каждому из сегментов задайте вопрос: </w:t>
      </w:r>
    </w:p>
    <w:p w14:paraId="3D3167A7" w14:textId="77777777" w:rsidR="00FB1F62" w:rsidRDefault="00FB1F62" w:rsidP="00FB1F62">
      <w:r>
        <w:t xml:space="preserve">— Было ли так, чтобы оценка была выше? </w:t>
      </w:r>
    </w:p>
    <w:p w14:paraId="2B6257B9" w14:textId="77777777" w:rsidR="00FB1F62" w:rsidRDefault="00FB1F62" w:rsidP="00FB1F62">
      <w:r>
        <w:t xml:space="preserve">— Если да, то что вы чувствовали тогда? Что происходило? </w:t>
      </w:r>
    </w:p>
    <w:p w14:paraId="76CC16D1" w14:textId="77777777" w:rsidR="00FB1F62" w:rsidRDefault="00FB1F62" w:rsidP="00FB1F62">
      <w:r>
        <w:t xml:space="preserve">— У вас была оценка ниже, чем сейчас? Что вы сделали, чтобы поднять ее? </w:t>
      </w:r>
    </w:p>
    <w:p w14:paraId="0E943C20" w14:textId="77777777" w:rsidR="00FB1F62" w:rsidRDefault="00FB1F62" w:rsidP="00FB1F62">
      <w:r>
        <w:t xml:space="preserve">— Чему вы научились, когда были ниже по шкале? </w:t>
      </w:r>
    </w:p>
    <w:p w14:paraId="67D35630" w14:textId="77777777" w:rsidR="00FB1F62" w:rsidRDefault="00FB1F62" w:rsidP="00FB1F62">
      <w:r>
        <w:t xml:space="preserve">— Какую оценку вы хотите? Какие действия можете сделать для этого? </w:t>
      </w:r>
    </w:p>
    <w:p w14:paraId="319E62FA" w14:textId="77777777" w:rsidR="00FB1F62" w:rsidRDefault="00FB1F62" w:rsidP="00FB1F62">
      <w:r>
        <w:t xml:space="preserve">— Если вы подниметесь выше по шкале, как вы поймете, что оказались там, какие события должны происходить? </w:t>
      </w:r>
    </w:p>
    <w:p w14:paraId="2447EE1C" w14:textId="77777777" w:rsidR="00FB1F62" w:rsidRDefault="00FB1F62" w:rsidP="00FB1F62">
      <w:r>
        <w:t xml:space="preserve">— Что нужно, чтобы вы сдвинулись на одну отметку вверх через неделю? </w:t>
      </w:r>
    </w:p>
    <w:p w14:paraId="7686611D" w14:textId="77777777" w:rsidR="00FB1F62" w:rsidRDefault="00FB1F62" w:rsidP="00FB1F62">
      <w:r>
        <w:t xml:space="preserve">— Что может помешать вам? </w:t>
      </w:r>
    </w:p>
    <w:p w14:paraId="1C48978A" w14:textId="77777777" w:rsidR="00FB1F62" w:rsidRDefault="00FB1F62" w:rsidP="00FB1F62">
      <w:r>
        <w:t>— Что вы можете сделать, чтобы преодолеть это обстоятельство, как подготовиться?</w:t>
      </w:r>
    </w:p>
    <w:p w14:paraId="27EA424E" w14:textId="77777777" w:rsidR="00FB1F62" w:rsidRDefault="00FB1F62" w:rsidP="00FB1F62">
      <w:pPr>
        <w:rPr>
          <w:b/>
          <w:i/>
        </w:rPr>
      </w:pPr>
      <w:bookmarkStart w:id="11" w:name="_3dy6vkm"/>
      <w:bookmarkStart w:id="12" w:name="_1t3h5sf"/>
      <w:bookmarkStart w:id="13" w:name="_17dp8vu"/>
      <w:bookmarkEnd w:id="11"/>
      <w:bookmarkEnd w:id="12"/>
      <w:bookmarkEnd w:id="13"/>
    </w:p>
    <w:p w14:paraId="3DB91E6B" w14:textId="77777777" w:rsidR="00FB1F62" w:rsidRDefault="00FB1F62">
      <w:pPr>
        <w:rPr>
          <w:rFonts w:asciiTheme="majorHAnsi" w:eastAsia="Verdan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rFonts w:eastAsia="Verdana"/>
        </w:rPr>
        <w:br w:type="page"/>
      </w:r>
    </w:p>
    <w:p w14:paraId="60FE7483" w14:textId="4C7BA015" w:rsidR="00FB1F62" w:rsidRDefault="00FB1F62" w:rsidP="00FB1F62">
      <w:pPr>
        <w:pStyle w:val="1"/>
        <w:rPr>
          <w:rFonts w:eastAsia="Verdana"/>
        </w:rPr>
      </w:pPr>
      <w:bookmarkStart w:id="14" w:name="_Toc24147754"/>
      <w:r>
        <w:rPr>
          <w:rFonts w:eastAsia="Verdana"/>
        </w:rPr>
        <w:lastRenderedPageBreak/>
        <w:t>5. Моделирование правила 2-2</w:t>
      </w:r>
      <w:bookmarkEnd w:id="14"/>
      <w:r>
        <w:rPr>
          <w:rFonts w:eastAsia="Verdana"/>
        </w:rPr>
        <w:t xml:space="preserve"> </w:t>
      </w:r>
    </w:p>
    <w:p w14:paraId="1CC8BF0D" w14:textId="26000AE1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5.1. </w:t>
      </w:r>
      <w:r w:rsidRPr="00FB1F62">
        <w:rPr>
          <w:rStyle w:val="ae"/>
        </w:rPr>
        <w:t>Составьте для клиента информационное письмо-бутерброд из двух позитивных действий и двух рекомендаций.</w:t>
      </w:r>
    </w:p>
    <w:p w14:paraId="5C561A0E" w14:textId="5335A805" w:rsidR="00FB1F62" w:rsidRPr="00FB1F62" w:rsidRDefault="00FB1F62" w:rsidP="00FB1F62">
      <w:pPr>
        <w:rPr>
          <w:rStyle w:val="ae"/>
        </w:rPr>
      </w:pPr>
      <w:r>
        <w:rPr>
          <w:rStyle w:val="ae"/>
        </w:rPr>
        <w:t xml:space="preserve">5.2. </w:t>
      </w:r>
      <w:r w:rsidRPr="00FB1F62">
        <w:rPr>
          <w:rStyle w:val="ae"/>
        </w:rPr>
        <w:t xml:space="preserve">Выглядеть это может, например, так: «Мне понравился ваш отзыв на обратную связь, он был очень полезен (положительное действие). Но лично мне бы хотелось, чтобы вы сделали какое-нибудь предложение (что улучшить). Я считаю, что ваш энтузиазм и внимательность к деталям сделали тему действительно интересной, спасибо (положительное действие). Но если добавить к этому немного юмора, дело может пойти веселее (что улучшить). Если вам нужна помощь в оформлении ваших предложений в презентацию, я вам с радостью помогу». </w:t>
      </w:r>
    </w:p>
    <w:p w14:paraId="6E327E19" w14:textId="77777777" w:rsidR="00FB1F62" w:rsidRDefault="00FB1F62" w:rsidP="00FB1F62">
      <w:pPr>
        <w:spacing w:after="0" w:line="240" w:lineRule="auto"/>
        <w:jc w:val="both"/>
        <w:rPr>
          <w:rFonts w:eastAsia="Verdana"/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1F62" w14:paraId="7B886019" w14:textId="77777777" w:rsidTr="00FB1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hideMark/>
          </w:tcPr>
          <w:p w14:paraId="221C7E51" w14:textId="77777777" w:rsidR="00FB1F62" w:rsidRDefault="00FB1F62">
            <w:pPr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Позитивное действие 1</w:t>
            </w:r>
          </w:p>
        </w:tc>
        <w:tc>
          <w:tcPr>
            <w:tcW w:w="4673" w:type="dxa"/>
          </w:tcPr>
          <w:p w14:paraId="3A26BF5F" w14:textId="77777777" w:rsidR="00FB1F62" w:rsidRDefault="00FB1F6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/>
                <w:sz w:val="28"/>
                <w:szCs w:val="28"/>
              </w:rPr>
            </w:pPr>
          </w:p>
        </w:tc>
      </w:tr>
      <w:tr w:rsidR="00FB1F62" w14:paraId="446135E5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hideMark/>
          </w:tcPr>
          <w:p w14:paraId="39DB8EF3" w14:textId="77777777" w:rsidR="00FB1F62" w:rsidRDefault="00FB1F62">
            <w:pPr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Рекомендация 1</w:t>
            </w:r>
          </w:p>
        </w:tc>
        <w:tc>
          <w:tcPr>
            <w:tcW w:w="4673" w:type="dxa"/>
          </w:tcPr>
          <w:p w14:paraId="3707E176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/>
                <w:sz w:val="28"/>
                <w:szCs w:val="28"/>
              </w:rPr>
            </w:pPr>
          </w:p>
        </w:tc>
      </w:tr>
      <w:tr w:rsidR="00FB1F62" w14:paraId="62D1E55A" w14:textId="77777777" w:rsidTr="00FB1F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hideMark/>
          </w:tcPr>
          <w:p w14:paraId="605D7DB6" w14:textId="77777777" w:rsidR="00FB1F62" w:rsidRDefault="00FB1F62">
            <w:pPr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Позитивное действие 2</w:t>
            </w:r>
          </w:p>
        </w:tc>
        <w:tc>
          <w:tcPr>
            <w:tcW w:w="4673" w:type="dxa"/>
          </w:tcPr>
          <w:p w14:paraId="7DACA20E" w14:textId="77777777" w:rsidR="00FB1F62" w:rsidRDefault="00FB1F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/>
                <w:sz w:val="28"/>
                <w:szCs w:val="28"/>
              </w:rPr>
            </w:pPr>
          </w:p>
        </w:tc>
      </w:tr>
      <w:tr w:rsidR="00FB1F62" w14:paraId="512AF039" w14:textId="77777777" w:rsidTr="00FB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hideMark/>
          </w:tcPr>
          <w:p w14:paraId="295887B0" w14:textId="77777777" w:rsidR="00FB1F62" w:rsidRDefault="00FB1F62">
            <w:pPr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Рекомендация 2</w:t>
            </w:r>
          </w:p>
        </w:tc>
        <w:tc>
          <w:tcPr>
            <w:tcW w:w="4673" w:type="dxa"/>
          </w:tcPr>
          <w:p w14:paraId="445A242F" w14:textId="77777777" w:rsidR="00FB1F62" w:rsidRDefault="00FB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/>
                <w:sz w:val="28"/>
                <w:szCs w:val="28"/>
              </w:rPr>
            </w:pPr>
          </w:p>
        </w:tc>
      </w:tr>
    </w:tbl>
    <w:p w14:paraId="774E89AE" w14:textId="77777777" w:rsidR="00FB1F62" w:rsidRDefault="00FB1F62" w:rsidP="00FB1F62">
      <w:pPr>
        <w:spacing w:after="0" w:line="240" w:lineRule="auto"/>
        <w:jc w:val="both"/>
        <w:rPr>
          <w:rFonts w:ascii="Calibri" w:eastAsia="Verdana" w:hAnsi="Calibri"/>
          <w:sz w:val="28"/>
          <w:szCs w:val="28"/>
        </w:rPr>
      </w:pPr>
    </w:p>
    <w:p w14:paraId="69CA07CA" w14:textId="77777777" w:rsidR="00993751" w:rsidRPr="00812C34" w:rsidRDefault="00993751" w:rsidP="00FB1F62">
      <w:pPr>
        <w:pStyle w:val="1"/>
      </w:pPr>
    </w:p>
    <w:sectPr w:rsidR="00993751" w:rsidRPr="00812C34" w:rsidSect="00FB1F62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F1578" w14:textId="77777777" w:rsidR="00077FD8" w:rsidRDefault="00077FD8" w:rsidP="00BD7811">
      <w:pPr>
        <w:spacing w:after="0" w:line="240" w:lineRule="auto"/>
      </w:pPr>
      <w:r>
        <w:separator/>
      </w:r>
    </w:p>
  </w:endnote>
  <w:endnote w:type="continuationSeparator" w:id="0">
    <w:p w14:paraId="4A68A7ED" w14:textId="77777777" w:rsidR="00077FD8" w:rsidRDefault="00077FD8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077FD8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077FD8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FBF08" w14:textId="77777777" w:rsidR="00077FD8" w:rsidRDefault="00077FD8" w:rsidP="00BD7811">
      <w:pPr>
        <w:spacing w:after="0" w:line="240" w:lineRule="auto"/>
      </w:pPr>
      <w:r>
        <w:separator/>
      </w:r>
    </w:p>
  </w:footnote>
  <w:footnote w:type="continuationSeparator" w:id="0">
    <w:p w14:paraId="7DC9F7E6" w14:textId="77777777" w:rsidR="00077FD8" w:rsidRDefault="00077FD8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205EA910" w:rsidR="00A32A6C" w:rsidRPr="00FF2A4E" w:rsidRDefault="00FF2A4E" w:rsidP="00CC446D">
    <w:pPr>
      <w:pStyle w:val="3"/>
      <w:jc w:val="center"/>
      <w:rPr>
        <w:b/>
        <w:bCs/>
        <w:sz w:val="18"/>
        <w:szCs w:val="18"/>
      </w:rPr>
    </w:pPr>
    <w:r>
      <w:rPr>
        <w:sz w:val="18"/>
        <w:szCs w:val="18"/>
      </w:rPr>
      <w:t xml:space="preserve">                                             </w:t>
    </w:r>
    <w:r w:rsidR="00A32A6C" w:rsidRPr="00FF2A4E">
      <w:rPr>
        <w:sz w:val="18"/>
        <w:szCs w:val="18"/>
      </w:rPr>
      <w:t xml:space="preserve">Рабочая тетрадь к курсу </w:t>
    </w:r>
    <w:r w:rsidR="00A32A6C" w:rsidRPr="00FF2A4E">
      <w:rPr>
        <w:b/>
        <w:bCs/>
        <w:sz w:val="18"/>
        <w:szCs w:val="18"/>
      </w:rPr>
      <w:t>«</w:t>
    </w:r>
    <w:r w:rsidRPr="00FF2A4E">
      <w:rPr>
        <w:b/>
        <w:bCs/>
        <w:sz w:val="18"/>
        <w:szCs w:val="18"/>
      </w:rPr>
      <w:t>Виды коучинга по области применения. Основная классификация</w:t>
    </w:r>
    <w:r w:rsidR="00A32A6C" w:rsidRPr="00FF2A4E">
      <w:rPr>
        <w:b/>
        <w:bCs/>
        <w:sz w:val="18"/>
        <w:szCs w:val="18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34CD"/>
    <w:multiLevelType w:val="hybridMultilevel"/>
    <w:tmpl w:val="9EF6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F6727"/>
    <w:multiLevelType w:val="hybridMultilevel"/>
    <w:tmpl w:val="32D8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0FA6"/>
    <w:rsid w:val="00001BDD"/>
    <w:rsid w:val="00077FD8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110D2"/>
    <w:rsid w:val="00993751"/>
    <w:rsid w:val="009D0083"/>
    <w:rsid w:val="009F12F6"/>
    <w:rsid w:val="00A025F1"/>
    <w:rsid w:val="00A32A6C"/>
    <w:rsid w:val="00A82C05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54DE1"/>
    <w:rsid w:val="00D852FE"/>
    <w:rsid w:val="00DB168C"/>
    <w:rsid w:val="00DE2F12"/>
    <w:rsid w:val="00DF7988"/>
    <w:rsid w:val="00E81A5C"/>
    <w:rsid w:val="00F65B37"/>
    <w:rsid w:val="00FA3EE3"/>
    <w:rsid w:val="00FB1EAD"/>
    <w:rsid w:val="00FB1F62"/>
    <w:rsid w:val="00FC4445"/>
    <w:rsid w:val="00FC4C2D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styleId="af7">
    <w:name w:val="Normal (Web)"/>
    <w:basedOn w:val="a"/>
    <w:uiPriority w:val="99"/>
    <w:semiHidden/>
    <w:unhideWhenUsed/>
    <w:rsid w:val="00FB1F62"/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konsalting--kouching/courses/kouchi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632-2777-4833-9FF5-0F734F28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6</cp:revision>
  <cp:lastPrinted>2019-11-13T03:07:00Z</cp:lastPrinted>
  <dcterms:created xsi:type="dcterms:W3CDTF">2019-11-08T19:58:00Z</dcterms:created>
  <dcterms:modified xsi:type="dcterms:W3CDTF">2019-11-13T03:07:00Z</dcterms:modified>
</cp:coreProperties>
</file>